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Style w:val="Ningun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b w:val="1"/>
          <w:bCs w:val="1"/>
          <w:sz w:val="22"/>
          <w:szCs w:val="22"/>
        </w:rPr>
      </w:pPr>
    </w:p>
    <w:p>
      <w:pPr>
        <w:pStyle w:val="Normal.0"/>
        <w:jc w:val="center"/>
      </w:pPr>
      <w:r>
        <w:rPr>
          <w:rStyle w:val="Ninguno"/>
          <w:b w:val="1"/>
          <w:bCs w:val="1"/>
          <w:rtl w:val="0"/>
          <w:lang w:val="es-ES_tradnl"/>
        </w:rPr>
        <w:t xml:space="preserve">LA LEGISLATURA DE LA PROVINCIA DE ENTRE RIOS SANCIONA CON </w:t>
      </w:r>
    </w:p>
    <w:p>
      <w:pPr>
        <w:pStyle w:val="Normal.0"/>
        <w:jc w:val="center"/>
      </w:pPr>
      <w:r>
        <w:rPr>
          <w:rStyle w:val="Ninguno"/>
          <w:b w:val="1"/>
          <w:bCs w:val="1"/>
          <w:rtl w:val="0"/>
          <w:lang w:val="es-ES_tradnl"/>
        </w:rPr>
        <w:t xml:space="preserve">FUERZA DE </w:t>
      </w:r>
    </w:p>
    <w:p>
      <w:pPr>
        <w:pStyle w:val="Normal.0"/>
        <w:jc w:val="center"/>
        <w:rPr>
          <w:rStyle w:val="Ninguno"/>
          <w:b w:val="1"/>
          <w:bCs w:val="1"/>
        </w:rPr>
      </w:pPr>
    </w:p>
    <w:p>
      <w:pPr>
        <w:pStyle w:val="Normal.0"/>
        <w:jc w:val="center"/>
      </w:pPr>
      <w:r>
        <w:rPr>
          <w:rStyle w:val="Ninguno"/>
          <w:b w:val="1"/>
          <w:bCs w:val="1"/>
          <w:rtl w:val="0"/>
          <w:lang w:val="es-ES_tradnl"/>
        </w:rPr>
        <w:t>LEY: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1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Modif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canse los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1</w:t>
      </w:r>
      <w:r>
        <w:rPr>
          <w:rtl w:val="0"/>
          <w:lang w:val="es-ES_tradnl"/>
        </w:rPr>
        <w:t>°</w:t>
      </w:r>
      <w:r>
        <w:rPr>
          <w:rtl w:val="0"/>
          <w:lang w:val="es-ES_tradnl"/>
        </w:rPr>
        <w:t>, 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bis, apartado B, 11, 15, 16,</w:t>
      </w:r>
      <w:r>
        <w:rPr>
          <w:rtl w:val="0"/>
          <w:lang w:val="es-ES_tradnl"/>
        </w:rPr>
        <w:t xml:space="preserve"> 17,</w:t>
      </w:r>
      <w:r>
        <w:rPr>
          <w:rtl w:val="0"/>
          <w:lang w:val="es-ES_tradnl"/>
        </w:rPr>
        <w:t xml:space="preserve"> 35, 51, y el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V de la Ley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8369, los que quedar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redactados de la siguiente forma: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</w:t>
      </w:r>
      <w:r>
        <w:rPr>
          <w:rtl w:val="0"/>
          <w:lang w:val="es-ES_tradnl"/>
        </w:rPr>
        <w:t>°</w:t>
      </w:r>
      <w:r>
        <w:rPr>
          <w:rtl w:val="0"/>
          <w:lang w:val="es-ES_tradnl"/>
        </w:rPr>
        <w:t>: Las personas humanas o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dicas tendr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contra toda decisi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acto, hecho u 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autoridad administrativa, judicial o legislativa en ejercicio de funciones administrativas, funcionario, corporaci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empleado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 provincial, municipal o comunal, o de un particular, que en forma actual o inminente, amenace, restrinja, altere, impida o lesione de manera manifiestamente ileg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tima el ejercicio de un derecho o garant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impl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cito o expl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cito reconocido por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 o Provincial, con excepci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libertad individual tutelada por el Habeas Corpus. Si el titular del derecho lesionado estuviere imposibilitado de ejercer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deducirla en su nombre un tercero.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5 bis: ...B) El demandado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interponerla en su primera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antes o al tiempo de la contestaci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mandamiento del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8</w:t>
      </w:r>
      <w:r>
        <w:rPr>
          <w:rtl w:val="0"/>
          <w:lang w:val="es-ES_tradnl"/>
        </w:rPr>
        <w:t>°</w:t>
      </w:r>
      <w:r>
        <w:rPr>
          <w:rtl w:val="0"/>
          <w:lang w:val="es-ES_tradnl"/>
        </w:rPr>
        <w:t>, y si la causal fuera sobreviniente, solo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hacerla valer dentro de las veinticuatro horas (24) de haber llegado a conocimiento del recusante y antes de quedar el expediente en estado de sentencia. Cuando se trate de recursos, la recusaci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los miembros del Superior Tribunal de Justicia se interpondr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dentro de las veinticuatro horas (24) de concedido el recurso o de notificada su denegatoria en el supuesto del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17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. En el escrito correspondiente, se expresar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las causas de la recusaci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se propondr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y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, en su caso, toda la prueba de la que el recusante intenta valerse. Si en el escrito recusatorio no se alegase concretamente alguna de las causales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aladas en el apartado A) de este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o se presentare fuera de las oportunidades precedentemente indicadas, la recusaci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rechazada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in limine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sin darle curso.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11: Prueba. Si en el informe se negare la exactitud de los hechos o actos denunciados, o no habi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ndose evacuado el mismo, el Juez </w:t>
      </w:r>
      <w:r>
        <w:rPr>
          <w:rtl w:val="0"/>
          <w:lang w:val="es-ES_tradnl"/>
        </w:rPr>
        <w:t xml:space="preserve"> o Sala de Camara </w:t>
      </w:r>
      <w:r>
        <w:rPr>
          <w:rtl w:val="0"/>
          <w:lang w:val="es-ES_tradnl"/>
        </w:rPr>
        <w:t>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ordenar, dentro del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 que debe dictar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producci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prueba conducente y las medidas para mejor proveer que crea convenientes, incluidas las modalidades conciliatorias previstas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in fine de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Provincial. Las pruebas deben estar producidas e incorporadas dentro de un plazo de diez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(10) debiendo el juez o Sala de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mara interviniente adoptar las providencias del caso para que las diligencias se practiquen dentro de dicho plazo, el que no admitir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ampliaci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15: Recursos.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apelables las sentencias definitivas y el rechazo de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inadmisible. El recurso tendr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efecto devolutivo, pero el </w:t>
      </w:r>
      <w:r>
        <w:rPr>
          <w:rtl w:val="0"/>
          <w:lang w:val="es-ES_tradnl"/>
        </w:rPr>
        <w:t>Tribunal de Grado, de Oficio o a 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parte, </w:t>
      </w:r>
      <w:r>
        <w:rPr>
          <w:rtl w:val="0"/>
          <w:lang w:val="es-ES_tradnl"/>
        </w:rPr>
        <w:t xml:space="preserve">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disponer la suspensi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decisi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recurrida.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16: Interposici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mite en segunda instancia. El recurso de apelaci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que importar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de nulidad,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interponerse dentro de las veinticuatro horas (24) de notificada la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impugnada, debiendo concederse o denegarse dentro de las veinticuatro horas (24). En el primer supuesto, se elevar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expediente para su radicaci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ante el Superior Tribunal de Justicia dentro de las veinticuatro horas (24). Dentro de las veinticuatro horas (24) de recepcionado el mismo, el Presidente del Superior Tribunal dictar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providencia que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disponer: a) informar el orden del sorteo; b) hacer saber a las partes que cuentan con plazo de tres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(3) para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memorial y c) la vista a la Procuraci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General y a la Defensor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General, esta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si correspondiera, quienes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dictaminar en el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 de tres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(3). La causa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ser resuelta dentro de los seis (6)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 hallarse en estado.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Articulo 17: Recurso Directo: en caso de que fuere denegado entender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superior Tribunal de Justicia, con la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prevista por el Articulo 33 de la ley Org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nica de Tribunales, en el recurso directo que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articularse dentro de los 3 (tres)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siguientes de ser notificada la denegatoria.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35: El juez rechazar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denuncia que no se refiera a uno de los casos establecidos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32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. Si se considera incompetente,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lo declarar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. En ambos casos elevar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inmediato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consulta al superior que corresponda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su fuero, que decidir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, 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tardar, dentro de las veinticuatro horas (24). Cuando el Juez tenga su sede en distinta localidad que el superior actuante, solo remitir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testimonio completo de lo actuado por el medio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pido posible. Si se revocare la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desestimatoria o de incompetencia se notificar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decisi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debiendo el Juez continuar de inmediato el procedimiento, si confirmare la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incompetencia remitir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los autos al Juez que considere competente. El Juez no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rechazar la denuncia por defectos formales, proveyendo de inmediato las medidas necesarias para su subsanaci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sin perjuicio de las sanciones que correspondan.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51: Demanda. A) La demanda de inconstitucionalidad se interpondr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ante el Superior Tribunal de Justicia, quien ejerce jurisdicci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originaria y exclusiva. En el escrito inicial se mencionar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ley, decreto, reglamento, ordenanza o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cter general,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alando con toda precisi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cual es la cl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usula de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 que estima violada y en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consiste tal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Cuando la demanda fuere en el mero inter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legalidad en los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rminos del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61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Provincial, el Superior Tribunal de Justicia ejercer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jurisdicci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originaria y exclusiva. La demanda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invocar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nicamente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 es la norma general que se considera contraria a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 y quien promoviere esta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acreditar su condici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habitante domiciliado en la Provincia.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 quien dedujere esta demanda de inconstitucionalidad provincial en forma temeraria se le aplicar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sanci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prevista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42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del CPCC, que se graduar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fundadamente de acuerdo a la gravedad del caso. Se considerar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temeraria aquella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directa de inconstitucionalidad que omita toda menci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norma constitucional provincial o est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basada en meras cuestiones difusas.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Si la inconstitucionalidad se interpusiera como excepci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defensa ejercer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jurisdicci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el Superior Tribunal de Justicia, en grado de apelaci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como tribunal de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instancia si se desafiara la validez de una norma por conculcar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Provincia y la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instancia inferior se circunscribiere a expedirse 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tal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consecuencias que emergen de la misma.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No se entender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que la constitucionalidad o inconstitucionalidad de las leyes, decretos, ordenanzas, resoluciones o reglamentos se refiere a materia estatuida por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 si no fuese exclusiva de la misma, sino que se tratare de atribuir conculcaci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sistema representativo y republicano de gobierno o a los principios, derechos y garant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reconocidos por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Nacional, que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 se limita a tener por reproducidos impl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cita o expl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citamente en cumplimiento de lo dispuesto por los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y 123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siguientes y concordantes de la Carta Magna. La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inconstitucionalidad por tres veces y, por sentencia firme del Superior Tribunal de Justicia de una norma general provincial, produce su derogaci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 la parte afectada por el vicio, debiendo disponerse, con la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su publicaci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Oficial de la Provincia.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3"/>
        </w:numPr>
        <w:jc w:val="both"/>
        <w:rPr>
          <w:lang w:val="es-ES_tradnl"/>
        </w:rPr>
      </w:pPr>
      <w:r>
        <w:rPr>
          <w:rtl w:val="0"/>
          <w:lang w:val="es-ES_tradnl"/>
        </w:rPr>
        <w:t>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 deducir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ante los Jueces o Tribunales de Primera Instancia que por materia corresponda, cuando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aquellas normas generales se invocaran violaciones a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 o ambas. Se entender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que la inconstitucionalidad alegada lo es a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Nacional si concurrieren los supuestos indicados en 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rrafo del apartado A) del presente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Entender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apelaci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mara competente y su pronunciamiento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susceptible del recurso de inaplicabilidad de ley por ante el Superior Tribunal de Justicia en pleno, que se integrar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del modo previsto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33 inc. a) de la Ley 6902.</w:t>
      </w:r>
    </w:p>
    <w:p>
      <w:pPr>
        <w:pStyle w:val="Normal.0"/>
        <w:jc w:val="both"/>
      </w:pPr>
    </w:p>
    <w:p>
      <w:pPr>
        <w:pStyle w:val="Normal.0"/>
        <w:jc w:val="center"/>
      </w:pPr>
      <w:r>
        <w:rPr>
          <w:rStyle w:val="Ninguno"/>
          <w:b w:val="1"/>
          <w:bCs w:val="1"/>
          <w:rtl w:val="0"/>
          <w:lang w:val="es-ES_tradnl"/>
        </w:rPr>
        <w:t>Cap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tulo V</w:t>
      </w:r>
    </w:p>
    <w:p>
      <w:pPr>
        <w:pStyle w:val="Normal.0"/>
        <w:jc w:val="center"/>
        <w:rPr>
          <w:rStyle w:val="Ninguno"/>
          <w:b w:val="1"/>
          <w:bCs w:val="1"/>
        </w:rPr>
      </w:pPr>
    </w:p>
    <w:p>
      <w:pPr>
        <w:pStyle w:val="Normal.0"/>
        <w:jc w:val="center"/>
      </w:pPr>
      <w:r>
        <w:rPr>
          <w:rStyle w:val="Ninguno"/>
          <w:b w:val="1"/>
          <w:bCs w:val="1"/>
          <w:rtl w:val="0"/>
          <w:lang w:val="es-ES_tradnl"/>
        </w:rPr>
        <w:t>AMPAROS ESPECIALES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62: Disposici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General. Los amparos contenidos en este 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tramitar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por el procedimiento regulado en el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I de la presente ley, si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ndoles aplicables sus disposiciones, adaptadas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las modalidades y circunstancias del caso, para asegurar un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mite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pido y expedito.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63</w:t>
      </w:r>
      <w:r>
        <w:rPr>
          <w:rtl w:val="0"/>
          <w:lang w:val="es-ES_tradnl"/>
        </w:rPr>
        <w:t>°</w:t>
      </w:r>
      <w:r>
        <w:rPr>
          <w:rtl w:val="0"/>
          <w:lang w:val="es-ES_tradnl"/>
        </w:rPr>
        <w:t>: Amparo por mora de la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interponer amparo por mora, cualquier persona que sea parte de un expediente administrativo, si la autoridad correspondiente dej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vencer los plazos fijados y en caso de no existir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stos, si hubo  injustificada demora en su tramitaci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 fin de obtener que el Juez fije un plazo sumar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simo para su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siempre que el accionante acredite haber instado previamente a la autoridad remisa mediante el recurso que las normas de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mite administrativo prevean.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64</w:t>
      </w:r>
      <w:r>
        <w:rPr>
          <w:rtl w:val="0"/>
          <w:lang w:val="es-ES_tradnl"/>
        </w:rPr>
        <w:t>°</w:t>
      </w:r>
      <w:r>
        <w:rPr>
          <w:rtl w:val="0"/>
          <w:lang w:val="es-ES_tradnl"/>
        </w:rPr>
        <w:t>: Habeas Data. Cualquier persona humana puede reclamar por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amparo una orden judicial para tomar conocimiento de los datos referidos a ella, a sus familiares directos fallecidos, o a sus propios bienes,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la fuente, finalidad y destino de los mismos, que consten en todo registro, archivo o banco de datos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blicos o privados de 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cter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blico, o que estuvieren almacenados en cualquier medio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 apto para proteger informes. En caso de falsedad o uso discriminatorio de tales datos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exigir la inmediata rectificaci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actualizaci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misma.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65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Amparo Ambiental. Objeto.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 procede contra todo hecho o acto,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cito o il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cito, que por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u 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anticipe la probabilidad de riesgo, lo haga posible o cause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ambiental.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66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Bienes protegidos. Sin perjuicio de otros no enumerados, se consideran bienes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dicos protegidos alcanzados por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 los siguientes: derechos humanos a la vida, integridad y salud, ecosistemas, corredores biol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gicos, diversidad biol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gica, fuentes de agua, agua potable, cuencas h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dricas, agua superficial y subterr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nea, acu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feros, humedales, montes nativos, selvas ribere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as, suelo, aire, flora, fauna, ambiente urbano, paisaj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stico, hist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rico, cultural,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stico y arquitect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67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Legitimaci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Activa. Estar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legitimados para interponer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</w:t>
      </w:r>
    </w:p>
    <w:p>
      <w:pPr>
        <w:pStyle w:val="Normal.0"/>
        <w:jc w:val="both"/>
      </w:pPr>
      <w:r>
        <w:rPr>
          <w:rtl w:val="0"/>
          <w:lang w:val="es-ES_tradnl"/>
        </w:rPr>
        <w:t>Amparo Ambiental:</w:t>
      </w:r>
    </w:p>
    <w:p>
      <w:pPr>
        <w:pStyle w:val="Normal.0"/>
        <w:numPr>
          <w:ilvl w:val="0"/>
          <w:numId w:val="5"/>
        </w:numPr>
        <w:jc w:val="both"/>
        <w:rPr>
          <w:lang w:val="es-ES_tradnl"/>
        </w:rPr>
      </w:pPr>
      <w:r>
        <w:rPr>
          <w:rtl w:val="0"/>
          <w:lang w:val="es-ES_tradnl"/>
        </w:rPr>
        <w:t>Las personas humanas, individual o colectivamente;</w:t>
      </w:r>
    </w:p>
    <w:p>
      <w:pPr>
        <w:pStyle w:val="Normal.0"/>
        <w:numPr>
          <w:ilvl w:val="0"/>
          <w:numId w:val="5"/>
        </w:numPr>
        <w:jc w:val="both"/>
        <w:rPr>
          <w:lang w:val="es-ES_tradnl"/>
        </w:rPr>
      </w:pPr>
      <w:r>
        <w:rPr>
          <w:rtl w:val="0"/>
          <w:lang w:val="es-ES_tradnl"/>
        </w:rPr>
        <w:t>Las personas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dicas. En particular, las asociaciones no gubernamentales cuyo fin estatutario sea la defensa ambiental;</w:t>
      </w:r>
    </w:p>
    <w:p>
      <w:pPr>
        <w:pStyle w:val="Normal.0"/>
        <w:numPr>
          <w:ilvl w:val="0"/>
          <w:numId w:val="5"/>
        </w:numPr>
        <w:jc w:val="both"/>
        <w:rPr>
          <w:lang w:val="es-ES_tradnl"/>
        </w:rPr>
      </w:pPr>
      <w:r>
        <w:rPr>
          <w:rtl w:val="0"/>
          <w:lang w:val="es-ES_tradnl"/>
        </w:rPr>
        <w:t>El Defensor del Pueblo de la Provincia;</w:t>
      </w:r>
    </w:p>
    <w:p>
      <w:pPr>
        <w:pStyle w:val="Normal.0"/>
        <w:numPr>
          <w:ilvl w:val="0"/>
          <w:numId w:val="5"/>
        </w:numPr>
        <w:jc w:val="both"/>
        <w:rPr>
          <w:lang w:val="es-ES_tradnl"/>
        </w:rPr>
      </w:pPr>
      <w:r>
        <w:rPr>
          <w:rtl w:val="0"/>
          <w:lang w:val="es-ES_tradnl"/>
        </w:rPr>
        <w:t>El Defensor del Pueblo del Municipio o Comuna;</w:t>
      </w:r>
    </w:p>
    <w:p>
      <w:pPr>
        <w:pStyle w:val="Normal.0"/>
        <w:numPr>
          <w:ilvl w:val="0"/>
          <w:numId w:val="5"/>
        </w:numPr>
        <w:jc w:val="both"/>
        <w:rPr>
          <w:lang w:val="es-ES_tradnl"/>
        </w:rPr>
      </w:pPr>
      <w:r>
        <w:rPr>
          <w:rtl w:val="0"/>
          <w:lang w:val="es-ES_tradnl"/>
        </w:rPr>
        <w:t>El Estado Nacional, Provincial, Municipalidades o Comunas. Deducido el amparo ambiental por alguno de los titulares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alados en el primer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rrafo, no podr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interponerlo los restantes, salvo que intervengan como terceros.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68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Legitimaci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Pasiva.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 se deducir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contra quienes fueran responsables de prevenir o evitar el riesgo o de provocar el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69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Beneficio. Cuando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 sea promovida por una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No Gubernamental dedicada a la defensa del ambiente, el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mite contar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 beneficio de litigar sin gastos.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70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Recaudos de Admisibilidad. La demanda de amparo ambiental se interpondr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por escrito.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precisar:</w:t>
      </w:r>
    </w:p>
    <w:p>
      <w:pPr>
        <w:pStyle w:val="Normal.0"/>
        <w:numPr>
          <w:ilvl w:val="0"/>
          <w:numId w:val="7"/>
        </w:numPr>
        <w:jc w:val="both"/>
        <w:rPr>
          <w:lang w:val="es-ES_tradnl"/>
        </w:rPr>
      </w:pPr>
      <w:r>
        <w:rPr>
          <w:rtl w:val="0"/>
          <w:lang w:val="es-ES_tradnl"/>
        </w:rPr>
        <w:t>Identificaci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domicilio del o de los demandados y de los terceros;</w:t>
      </w:r>
    </w:p>
    <w:p>
      <w:pPr>
        <w:pStyle w:val="Normal.0"/>
        <w:numPr>
          <w:ilvl w:val="0"/>
          <w:numId w:val="7"/>
        </w:numPr>
        <w:jc w:val="both"/>
        <w:rPr>
          <w:lang w:val="es-ES_tradnl"/>
        </w:rPr>
      </w:pPr>
      <w:r>
        <w:rPr>
          <w:rtl w:val="0"/>
          <w:lang w:val="es-ES_tradnl"/>
        </w:rPr>
        <w:t>Menci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autoridad administrativa competente en el caso en materia de control ambiental;</w:t>
      </w:r>
    </w:p>
    <w:p>
      <w:pPr>
        <w:pStyle w:val="Normal.0"/>
        <w:numPr>
          <w:ilvl w:val="0"/>
          <w:numId w:val="7"/>
        </w:numPr>
        <w:jc w:val="both"/>
        <w:rPr>
          <w:lang w:val="es-ES_tradnl"/>
        </w:rPr>
      </w:pPr>
      <w:r>
        <w:rPr>
          <w:rtl w:val="0"/>
          <w:lang w:val="es-ES_tradnl"/>
        </w:rPr>
        <w:t>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circunstanciada de los hechos;</w:t>
      </w:r>
    </w:p>
    <w:p>
      <w:pPr>
        <w:pStyle w:val="Normal.0"/>
        <w:numPr>
          <w:ilvl w:val="0"/>
          <w:numId w:val="10"/>
        </w:numPr>
        <w:jc w:val="both"/>
        <w:rPr>
          <w:lang w:val="es-ES_tradnl"/>
        </w:rPr>
      </w:pPr>
      <w:r>
        <w:rPr>
          <w:rtl w:val="0"/>
          <w:lang w:val="es-ES_tradnl"/>
        </w:rPr>
        <w:t>Derecho o garant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constitucional que fundamenta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n;</w:t>
      </w:r>
    </w:p>
    <w:p>
      <w:pPr>
        <w:pStyle w:val="Normal.0"/>
        <w:numPr>
          <w:ilvl w:val="0"/>
          <w:numId w:val="9"/>
        </w:numPr>
        <w:jc w:val="both"/>
        <w:rPr>
          <w:lang w:val="es-ES_tradnl"/>
        </w:rPr>
      </w:pPr>
      <w:r>
        <w:rPr>
          <w:rtl w:val="0"/>
          <w:lang w:val="es-ES_tradnl"/>
        </w:rPr>
        <w:t>Si se produjo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Impacto Ambiental relativa al objeto del</w:t>
      </w:r>
    </w:p>
    <w:p>
      <w:pPr>
        <w:pStyle w:val="Normal.0"/>
        <w:jc w:val="both"/>
      </w:pPr>
      <w:r>
        <w:rPr>
          <w:rtl w:val="0"/>
          <w:lang w:val="es-ES_tradnl"/>
        </w:rPr>
        <w:t>amparo;</w:t>
      </w:r>
    </w:p>
    <w:p>
      <w:pPr>
        <w:pStyle w:val="Normal.0"/>
        <w:numPr>
          <w:ilvl w:val="0"/>
          <w:numId w:val="9"/>
        </w:numPr>
        <w:jc w:val="both"/>
        <w:rPr>
          <w:lang w:val="es-ES_tradnl"/>
        </w:rPr>
      </w:pPr>
      <w:r>
        <w:rPr>
          <w:rtl w:val="0"/>
          <w:lang w:val="es-ES_tradnl"/>
        </w:rPr>
        <w:t>Si se formaliz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Audiencia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blica relacionada con el objeto del amparo;</w:t>
      </w:r>
    </w:p>
    <w:p>
      <w:pPr>
        <w:pStyle w:val="Normal.0"/>
        <w:numPr>
          <w:ilvl w:val="0"/>
          <w:numId w:val="9"/>
        </w:numPr>
        <w:jc w:val="both"/>
        <w:rPr>
          <w:lang w:val="es-ES_tradnl"/>
        </w:rPr>
      </w:pPr>
      <w:r>
        <w:rPr>
          <w:rtl w:val="0"/>
          <w:lang w:val="es-ES_tradnl"/>
        </w:rPr>
        <w:t>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ar prueba documental o individualizarla si no se encontrare en poder del actor;</w:t>
      </w:r>
    </w:p>
    <w:p>
      <w:pPr>
        <w:pStyle w:val="Normal.0"/>
        <w:numPr>
          <w:ilvl w:val="0"/>
          <w:numId w:val="9"/>
        </w:numPr>
        <w:jc w:val="both"/>
        <w:rPr>
          <w:lang w:val="es-ES_tradnl"/>
        </w:rPr>
      </w:pPr>
      <w:r>
        <w:rPr>
          <w:rtl w:val="0"/>
          <w:lang w:val="es-ES_tradnl"/>
        </w:rPr>
        <w:t>Ofrecer la 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prueba que se considere conducente;</w:t>
      </w:r>
    </w:p>
    <w:p>
      <w:pPr>
        <w:pStyle w:val="Normal.0"/>
        <w:numPr>
          <w:ilvl w:val="0"/>
          <w:numId w:val="9"/>
        </w:numPr>
        <w:jc w:val="both"/>
        <w:rPr>
          <w:lang w:val="es-ES_tradnl"/>
        </w:rPr>
      </w:pPr>
      <w:r>
        <w:rPr>
          <w:rtl w:val="0"/>
          <w:lang w:val="es-ES_tradnl"/>
        </w:rPr>
        <w:t>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dictado de sentencia.</w:t>
      </w:r>
    </w:p>
    <w:p>
      <w:pPr>
        <w:pStyle w:val="Normal.0"/>
        <w:jc w:val="both"/>
      </w:pPr>
      <w:r>
        <w:rPr>
          <w:rtl w:val="0"/>
          <w:lang w:val="es-ES_tradnl"/>
        </w:rPr>
        <w:t>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contener solicitud de medidas cautelares para que se disponga el cese inmediato de la causa del riesgo o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71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Amicus Curiae.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 admite en todos los casos la intervenci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amicus curiae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La intervenci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amicus curiae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proceder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desde que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fuera declarada admisible hasta el llamado de autos a sentencia.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se admitir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amicus curiae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que estuviese fundada en hechos cient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ficamente comprobados, derecho aplicable al caso, doctrina legal y/o jurisprudencia. En todo lo aqu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no previsto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aplicable la Ley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10.464.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72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Procedencia. Comprobado el cumplimiento de los recaudos de admisibilidad, se declarar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procedencia de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ambiental, despach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ndose en un mismo acto:</w:t>
      </w:r>
    </w:p>
    <w:p>
      <w:pPr>
        <w:pStyle w:val="Normal.0"/>
        <w:numPr>
          <w:ilvl w:val="0"/>
          <w:numId w:val="12"/>
        </w:numPr>
        <w:jc w:val="both"/>
        <w:rPr>
          <w:lang w:val="es-ES_tradnl"/>
        </w:rPr>
      </w:pPr>
      <w:r>
        <w:rPr>
          <w:rtl w:val="0"/>
          <w:lang w:val="es-ES_tradnl"/>
        </w:rPr>
        <w:t>Requerimiento de expedientes administrativos o judiciales que se hubieren individualizado en la demanda.</w:t>
      </w:r>
    </w:p>
    <w:p>
      <w:pPr>
        <w:pStyle w:val="Normal.0"/>
        <w:numPr>
          <w:ilvl w:val="0"/>
          <w:numId w:val="12"/>
        </w:numPr>
        <w:jc w:val="both"/>
        <w:rPr>
          <w:lang w:val="es-ES_tradnl"/>
        </w:rPr>
      </w:pPr>
      <w:r>
        <w:rPr>
          <w:rtl w:val="0"/>
          <w:lang w:val="es-ES_tradnl"/>
        </w:rPr>
        <w:t>Mandamiento de constataci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lugares y/o cosas.</w:t>
      </w:r>
    </w:p>
    <w:p>
      <w:pPr>
        <w:pStyle w:val="Normal.0"/>
        <w:numPr>
          <w:ilvl w:val="0"/>
          <w:numId w:val="12"/>
        </w:numPr>
        <w:jc w:val="both"/>
        <w:rPr>
          <w:lang w:val="es-ES_tradnl"/>
        </w:rPr>
      </w:pPr>
      <w:r>
        <w:rPr>
          <w:rtl w:val="0"/>
          <w:lang w:val="es-ES_tradnl"/>
        </w:rPr>
        <w:t>Cuando lo considere necesario, solicitar a entidades cient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ficas de reconocida solvencia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la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n;</w:t>
      </w:r>
    </w:p>
    <w:p>
      <w:pPr>
        <w:pStyle w:val="Normal.0"/>
        <w:numPr>
          <w:ilvl w:val="0"/>
          <w:numId w:val="12"/>
        </w:numPr>
        <w:jc w:val="both"/>
        <w:rPr>
          <w:lang w:val="es-ES_tradnl"/>
        </w:rPr>
      </w:pPr>
      <w:r>
        <w:rPr>
          <w:rtl w:val="0"/>
          <w:lang w:val="es-ES_tradnl"/>
        </w:rPr>
        <w:t>Intimaci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presentar documental o instrumental en poder de la demandada o de los terceros.</w:t>
      </w:r>
    </w:p>
    <w:p>
      <w:pPr>
        <w:pStyle w:val="Normal.0"/>
        <w:numPr>
          <w:ilvl w:val="0"/>
          <w:numId w:val="15"/>
        </w:numPr>
        <w:jc w:val="both"/>
        <w:rPr>
          <w:lang w:val="es-ES_tradnl"/>
        </w:rPr>
      </w:pPr>
      <w:r>
        <w:rPr>
          <w:rtl w:val="0"/>
          <w:lang w:val="es-ES_tradnl"/>
        </w:rPr>
        <w:t>Si la autoridad judicial lo estimare pertinente, en consideraci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las particulares circunstancias del caso,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convocar a las partes a audiencia de conciliaci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realizarse dentro de las cuarenta y ocho (48) horas siguientes.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73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Medida Cautelar. En la primera providencia el Juez o Tribunal resolver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sobre las medidas cautelares solicitadas que tramitar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con 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cter urgente y habilitaci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y horas inh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biles, previo traslado por cinco (5)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 El Juez o Tribunal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ordenar otra u otras medidas cautelares que consideren conducentes o necesarias para anticipar, prevenir o evitar el riesgo de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ambiental o hacerlo cesar.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74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Traslados. De la demanda y, en su caso, de la documental que la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 se dar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traslado a la demandada, se citar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 los terceros y se correr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vista al Ministerio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blico. Cuando la demandada sea un particular, el plazo del traslado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tres (3)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as, el que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ser extendido por el juez hasta siete (7)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si encontrare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rito para ello por la complejidad del caso. Cuando la demandada o el tercero fuere la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blica el plazo del traslado se extender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 siete (7)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 El Ministerio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dictaminar en el plazo de tres (3)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 En caso de que la Provincia fuere citada como demandada o tercero, se correr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traslado al Superior Gobierno y al Fiscal de Estado. Si el domicilio del demandado fuera incierto o desconocido, se citar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por una (1) y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nica vez por edictos publicados al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siguiente de su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Oficial y en un peri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dico del lugar del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domicilio del citado, con habilitaci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y horas y bajo intimaci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aplicar multa en caso de morosidad.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75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Prueba. Contestada la demanda, si existieran hechos controvertidos, cumplidos los requerimientos, el mandamiento de constataci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medida cautelar que hubiera sido dispuesta, el Juez o Tribunal abrir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causa a prueba, la que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producirse o incorporarse en el plazo de diez (10)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76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Sentencia. Vencido el plazo de producci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pruebas, previa vista al Ministerio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 por el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 de dos (2)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as, se dictar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sentencia en el plazo de cinco (5)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as. La sentencia de amparo podr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:</w:t>
      </w:r>
    </w:p>
    <w:p>
      <w:pPr>
        <w:pStyle w:val="Normal.0"/>
        <w:numPr>
          <w:ilvl w:val="0"/>
          <w:numId w:val="17"/>
        </w:numPr>
        <w:jc w:val="both"/>
        <w:rPr>
          <w:lang w:val="es-ES_tradnl"/>
        </w:rPr>
      </w:pPr>
      <w:r>
        <w:rPr>
          <w:rtl w:val="0"/>
          <w:lang w:val="es-ES_tradnl"/>
        </w:rPr>
        <w:t>Anticipar el riesgo de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ambiental ordenando las medidas conducentes para prevenirlo;</w:t>
      </w:r>
    </w:p>
    <w:p>
      <w:pPr>
        <w:pStyle w:val="Normal.0"/>
        <w:numPr>
          <w:ilvl w:val="0"/>
          <w:numId w:val="17"/>
        </w:numPr>
        <w:jc w:val="both"/>
        <w:rPr>
          <w:lang w:val="es-ES_tradnl"/>
        </w:rPr>
      </w:pPr>
      <w:r>
        <w:rPr>
          <w:rtl w:val="0"/>
          <w:lang w:val="es-ES_tradnl"/>
        </w:rPr>
        <w:t>Disponer el cese del riesgo ambiental;</w:t>
      </w:r>
    </w:p>
    <w:p>
      <w:pPr>
        <w:pStyle w:val="Normal.0"/>
        <w:numPr>
          <w:ilvl w:val="0"/>
          <w:numId w:val="17"/>
        </w:numPr>
        <w:jc w:val="both"/>
        <w:rPr>
          <w:lang w:val="es-ES_tradnl"/>
        </w:rPr>
      </w:pPr>
      <w:r>
        <w:rPr>
          <w:rtl w:val="0"/>
          <w:lang w:val="es-ES_tradnl"/>
        </w:rPr>
        <w:t>Disponer el cese del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ambiental;</w:t>
      </w:r>
    </w:p>
    <w:p>
      <w:pPr>
        <w:pStyle w:val="Normal.0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Obligar a restituir o recomponer;</w:t>
      </w:r>
    </w:p>
    <w:p>
      <w:pPr>
        <w:pStyle w:val="Normal.0"/>
        <w:numPr>
          <w:ilvl w:val="0"/>
          <w:numId w:val="19"/>
        </w:numPr>
        <w:jc w:val="both"/>
        <w:rPr>
          <w:lang w:val="es-ES_tradnl"/>
        </w:rPr>
      </w:pPr>
      <w:r>
        <w:rPr>
          <w:rtl w:val="0"/>
          <w:lang w:val="es-ES_tradnl"/>
        </w:rPr>
        <w:t>Disponer medidas punitivas.</w:t>
      </w:r>
    </w:p>
    <w:p>
      <w:pPr>
        <w:pStyle w:val="Normal.0"/>
        <w:jc w:val="both"/>
      </w:pPr>
      <w:r>
        <w:rPr>
          <w:rtl w:val="0"/>
          <w:lang w:val="es-ES_tradnl"/>
        </w:rPr>
        <w:t>Al dictar sentencia, de acuerdo a la sana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tica, el Juez o Tribunal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extender su fallo a otras cuestiones ambientales relacionadas con el objeto del caso y ordenar las acciones de ejecuci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prohibici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necesarias para salvaguardar el bien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dico protegido, aun cuando no se hubiere solicitado expresamente.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77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: En todo lo 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no est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regulado expresamente en las normas de procedimiento de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amparo ambiental se aplicar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las normas previstas en el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I de la presente ley.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-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2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Incorp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rase como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78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la Ley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8.369, el siguiente: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78: Norma de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supletoria. En lo que no sea incompatible con la naturaleza sumar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sima de las acciones previstas en la presente ley,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de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supletoria las disposiciones del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digo Procesal Penal.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3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Modif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canse los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33, 35, 37, 39 y 42 de la Ley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6902, ratificada por Ley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7504, los que quedar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redactados de la siguiente manera: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33: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</w:t>
      </w:r>
    </w:p>
    <w:p>
      <w:pPr>
        <w:pStyle w:val="Normal.0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En los casos previstos en los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61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y 205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Provincial, sin perjuicio de lo dispuesto en los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37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y 38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la presente, decidir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Superior Tribunal en pleno, que se integrar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 la cantidad de miembros necesarios para obtener la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absoluta, siguiendo el orden en que hubieran sido sorteados para resolver cada causa.</w:t>
      </w:r>
    </w:p>
    <w:p>
      <w:pPr>
        <w:pStyle w:val="Normal.0"/>
        <w:jc w:val="both"/>
      </w:pPr>
      <w:r>
        <w:rPr>
          <w:rtl w:val="0"/>
          <w:lang w:val="es-ES_tradnl"/>
        </w:rPr>
        <w:t>Siempre que exista la misma, cuando hubiera vocales en uso de licencia o ausentes en comisi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servicio, no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necesaria la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cuerpo con los subrogantes legales, bastando que dicha circunstancia surja de las constancias del expediente, con lo que se modificar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autom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ticamente, siguiendo el orden del sorteo.</w:t>
      </w:r>
    </w:p>
    <w:p>
      <w:pPr>
        <w:pStyle w:val="Normal.0"/>
        <w:jc w:val="both"/>
      </w:pPr>
      <w:r>
        <w:rPr>
          <w:rtl w:val="0"/>
          <w:lang w:val="es-ES_tradnl"/>
        </w:rPr>
        <w:t>Quien ejerza la Presidencia del Superior Tribunal de Justicia -aun en per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odos de ferias judiciales- votar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siempre en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rmino, pudiendo abstenerse de votar y firmar cuando existan votos previos coincidentes que alcancen la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absoluta que se requiere para las sentencias v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lidas.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5"/>
        </w:numPr>
        <w:jc w:val="both"/>
        <w:rPr>
          <w:lang w:val="es-ES_tradnl"/>
        </w:rPr>
      </w:pPr>
      <w:r>
        <w:rPr>
          <w:rtl w:val="0"/>
          <w:lang w:val="es-ES_tradnl"/>
        </w:rPr>
        <w:t>Cuando act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e como Tribunal de Alzada en las acciones previstas en los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56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, 57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, 58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, 59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y 63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 decidir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un tribunal de cinco miembros. Se sortear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por Secretar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el orden en que intervendr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los ocho Vocales del Superior Tribunal de Justicia, ya que su Presidente actuar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siempre en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rmino; los cinco primeros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quienes conocer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en la causa y los cuatro restantes los subrogantes en caso de ausencia o licencia de los primeros, respet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ndose el orden del sorteo. Se decidir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por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absoluta; una vez alcanzada la misma no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necesario que el resto de los vocales que integren el tribunal designado se expidan ni firmen.</w:t>
      </w:r>
    </w:p>
    <w:p>
      <w:pPr>
        <w:pStyle w:val="Normal.0"/>
        <w:jc w:val="both"/>
      </w:pPr>
      <w:r>
        <w:rPr>
          <w:rtl w:val="0"/>
          <w:lang w:val="es-ES_tradnl"/>
        </w:rPr>
        <w:t>El sorteo previsto en los puntos a.- y b.- se realizar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mediante el sistema inform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 desarrollado al efecto, el que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ser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 y controlado mediante intervenci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actuarial.</w:t>
      </w:r>
      <w:r>
        <w:rPr>
          <w:rtl w:val="0"/>
          <w:lang w:val="es-ES_tradnl"/>
        </w:rPr>
        <w:t>”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35: Tribunal Plenario. Cuando se advierta, de oficio o por pedido de parte, que el tribunal designado vot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caso sometido a su consideraci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forma divergente a otro fallado con distinta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se reunir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Tribunal en Pleno para decidir la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el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ximo Acuerdo General que se realice.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39: Divisi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Salas. El Superior Tribunal se dividir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tres Salas, que se compondr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de tres miembros cada una, a saber: Sala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1 en lo Penal, Sala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2 en lo Civil y Comercial y Sala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3 del Trabajo.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42: Competencia de la Sala Penal. Tendr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competencia en toda la</w:t>
      </w:r>
    </w:p>
    <w:p>
      <w:pPr>
        <w:pStyle w:val="Normal.0"/>
        <w:jc w:val="both"/>
      </w:pPr>
      <w:r>
        <w:rPr>
          <w:rtl w:val="0"/>
          <w:lang w:val="es-ES_tradnl"/>
        </w:rPr>
        <w:t>Provincia para entender en las siguientes materias:</w:t>
      </w:r>
    </w:p>
    <w:p>
      <w:pPr>
        <w:pStyle w:val="Normal.0"/>
        <w:jc w:val="both"/>
      </w:pPr>
      <w:r>
        <w:rPr>
          <w:rtl w:val="0"/>
          <w:lang w:val="es-ES_tradnl"/>
        </w:rPr>
        <w:t>1.- En la Impugnaci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Extraordinaria;</w:t>
      </w:r>
    </w:p>
    <w:p>
      <w:pPr>
        <w:pStyle w:val="Normal.0"/>
        <w:jc w:val="both"/>
      </w:pPr>
      <w:r>
        <w:rPr>
          <w:rtl w:val="0"/>
          <w:lang w:val="es-ES_tradnl"/>
        </w:rPr>
        <w:t>2.- En la Queja por denegaci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dicho recurso;</w:t>
      </w:r>
    </w:p>
    <w:p>
      <w:pPr>
        <w:pStyle w:val="Normal.0"/>
        <w:jc w:val="both"/>
      </w:pPr>
      <w:r>
        <w:rPr>
          <w:rtl w:val="0"/>
          <w:lang w:val="es-ES_tradnl"/>
        </w:rPr>
        <w:t>3.- En las cuestiones de competencia que se susciten en el fuero penal cuando no exista un superior com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que resuelva la contienda;</w:t>
      </w:r>
    </w:p>
    <w:p>
      <w:pPr>
        <w:pStyle w:val="Normal.0"/>
        <w:jc w:val="both"/>
      </w:pPr>
      <w:r>
        <w:rPr>
          <w:rtl w:val="0"/>
          <w:lang w:val="es-ES_tradnl"/>
        </w:rPr>
        <w:t>4.- En las apelaciones de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Habeas Corpus;</w:t>
      </w:r>
    </w:p>
    <w:p>
      <w:pPr>
        <w:pStyle w:val="Normal.0"/>
        <w:jc w:val="both"/>
      </w:pPr>
      <w:r>
        <w:rPr>
          <w:rtl w:val="0"/>
          <w:lang w:val="es-ES_tradnl"/>
        </w:rPr>
        <w:t>5.- Vigilar el cumplimiento de los fines del proceso penal, debiendo para ello realizar inspecciones de establecimientos penitenciarios, carcelarios y policiales, e informar al Poder Ejecutivo trimestralmente los resultados del ejercicio de la presente potestad. Ella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ser delegada en tribunales, fiscales, jueces de garant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y en cualquier otro magistrado o funcionario vinculado a la competencia penal.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4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Incorp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rase como inciso 33 del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la Ley N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6.902, el siguiente texto: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>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culo 37: 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inc 33) Como Tribunal de Alzada en las acciones previstas en los siguientes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de la Constituci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Provincial: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56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Amparo Gen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rico y en Defensa de Intereses de incidencia colectiva;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57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Amparo por Mora;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58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,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Ejecuci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n;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59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Prohibici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63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de Habeas Data.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5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Vigencia temporal. Las disposiciones de la presente entrar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en vigencia al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siguiente de su publicaci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Oficial y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aplicables a todos los juicios que iniciaren a partir de entonces. Siendo sus disposiciones de orden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blico, se aplicar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a los juicios pendientes en que no haya reca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do sentencia definitiva, en cuyo caso se proceder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oficio a las remisiones y medidas que fueren pertinentes.-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6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Disp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nese que el Poder Ejecutivo de la Provincia dicte el texto ordenado de la Ley 8.369, dentro del plazo de treinta (30)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h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biles, el que se publicar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Oficial de la Provincia.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ART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CULO 7</w:t>
      </w:r>
      <w:r>
        <w:rPr>
          <w:rStyle w:val="Ninguno"/>
          <w:b w:val="1"/>
          <w:bCs w:val="1"/>
          <w:u w:val="single"/>
          <w:rtl w:val="0"/>
          <w:lang w:val="es-ES_tradnl"/>
        </w:rPr>
        <w:t>º</w:t>
      </w:r>
      <w:r>
        <w:rPr>
          <w:rStyle w:val="Ninguno"/>
          <w:b w:val="1"/>
          <w:bCs w:val="1"/>
          <w:u w:val="single"/>
          <w:rtl w:val="0"/>
          <w:lang w:val="es-ES_tradnl"/>
        </w:rPr>
        <w:t>.-</w:t>
      </w:r>
      <w:r>
        <w:rPr>
          <w:rtl w:val="0"/>
          <w:lang w:val="es-ES_tradnl"/>
        </w:rPr>
        <w:t xml:space="preserve"> Comun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quese, etc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tera.-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Sala de Sesiones. Paran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, .-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Ninguno"/>
          <w:b w:val="1"/>
          <w:bCs w:val="1"/>
        </w:rPr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</w:rPr>
        <w:tab/>
        <w:t xml:space="preserve">   NICOLAS PIERINI                                     SERGIO URRIBARRI</w:t>
      </w:r>
    </w:p>
    <w:p>
      <w:pPr>
        <w:pStyle w:val="Normal.0"/>
        <w:jc w:val="both"/>
      </w:pPr>
      <w:r>
        <w:rPr>
          <w:rtl w:val="0"/>
          <w:lang w:val="es-ES_tradnl"/>
        </w:rPr>
        <w:t xml:space="preserve">          Secretario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mara Diputados                          Presidente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mara Diputados</w:t>
      </w:r>
    </w:p>
    <w:p>
      <w:pPr>
        <w:pStyle w:val="Normal.0"/>
        <w:jc w:val="both"/>
      </w:pP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2891" w:right="1134" w:bottom="1134" w:left="1701" w:header="136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"/>
      <w:tabs>
        <w:tab w:val="right" w:pos="9045"/>
        <w:tab w:val="clear" w:pos="9071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327660</wp:posOffset>
              </wp:positionV>
              <wp:extent cx="2032636" cy="130556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2636" cy="1305561"/>
                        <a:chOff x="0" y="0"/>
                        <a:chExt cx="2032635" cy="130556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32636" cy="13055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124" y="119"/>
                          <a:ext cx="2032388" cy="13053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8.3pt;margin-top:25.8pt;width:160.1pt;height:10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032635,1305560">
              <w10:wrap type="none" side="bothSides" anchorx="page" anchory="page"/>
              <v:rect id="_x0000_s1027" style="position:absolute;left:0;top:0;width:2032635;height:13055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24;top:120;width:2032387;height:1305321;">
                <v:imagedata r:id="rId1" o:title="image.pdf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0"/>
  </w:abstractNum>
  <w:abstractNum w:abstractNumId="19">
    <w:multiLevelType w:val="hybridMultilevel"/>
    <w:styleLink w:val="Estilo importado 10"/>
    <w:lvl w:ilvl="0">
      <w:start w:val="1"/>
      <w:numFmt w:val="lowerLetter"/>
      <w:suff w:val="tab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startOverride w:val="5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4"/>
    <w:lvlOverride w:ilvl="0">
      <w:startOverride w:val="4"/>
    </w:lvlOverride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1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">
    <w:name w:val="Cabecera"/>
    <w:next w:val="Cabecera"/>
    <w:pPr>
      <w:keepNext w:val="0"/>
      <w:keepLines w:val="0"/>
      <w:pageBreakBefore w:val="0"/>
      <w:widowControl w:val="0"/>
      <w:shd w:val="clear" w:color="auto" w:fill="auto"/>
      <w:tabs>
        <w:tab w:val="center" w:pos="4535"/>
        <w:tab w:val="right" w:pos="9071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4"/>
      </w:numPr>
    </w:pPr>
  </w:style>
  <w:style w:type="numbering" w:styleId="Estilo importado 3">
    <w:name w:val="Estilo importado 3"/>
    <w:pPr>
      <w:numPr>
        <w:numId w:val="6"/>
      </w:numPr>
    </w:pPr>
  </w:style>
  <w:style w:type="numbering" w:styleId="Estilo importado 4">
    <w:name w:val="Estilo importado 4"/>
    <w:pPr>
      <w:numPr>
        <w:numId w:val="8"/>
      </w:numPr>
    </w:pPr>
  </w:style>
  <w:style w:type="numbering" w:styleId="Estilo importado 5">
    <w:name w:val="Estilo importado 5"/>
    <w:pPr>
      <w:numPr>
        <w:numId w:val="11"/>
      </w:numPr>
    </w:pPr>
  </w:style>
  <w:style w:type="numbering" w:styleId="Estilo importado 6">
    <w:name w:val="Estilo importado 6"/>
    <w:pPr>
      <w:numPr>
        <w:numId w:val="13"/>
      </w:numPr>
    </w:pPr>
  </w:style>
  <w:style w:type="numbering" w:styleId="Estilo importado 7">
    <w:name w:val="Estilo importado 7"/>
    <w:pPr>
      <w:numPr>
        <w:numId w:val="16"/>
      </w:numPr>
    </w:pPr>
  </w:style>
  <w:style w:type="numbering" w:styleId="Estilo importado 8">
    <w:name w:val="Estilo importado 8"/>
    <w:pPr>
      <w:numPr>
        <w:numId w:val="18"/>
      </w:numPr>
    </w:pPr>
  </w:style>
  <w:style w:type="numbering" w:styleId="Estilo importado 9">
    <w:name w:val="Estilo importado 9"/>
    <w:pPr>
      <w:numPr>
        <w:numId w:val="21"/>
      </w:numPr>
    </w:pPr>
  </w:style>
  <w:style w:type="numbering" w:styleId="Estilo importado 10">
    <w:name w:val="Estilo importado 10"/>
    <w:pPr>
      <w:numPr>
        <w:numId w:val="2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